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ook w:val="04A0" w:firstRow="1" w:lastRow="0" w:firstColumn="1" w:lastColumn="0" w:noHBand="0" w:noVBand="1"/>
      </w:tblPr>
      <w:tblGrid>
        <w:gridCol w:w="10456"/>
      </w:tblGrid>
      <w:tr w:rsidR="002C0537" w:rsidTr="00697D13">
        <w:tc>
          <w:tcPr>
            <w:tcW w:w="10456" w:type="dxa"/>
            <w:shd w:val="clear" w:color="auto" w:fill="E7E6E6" w:themeFill="background2"/>
          </w:tcPr>
          <w:p w:rsidR="002C0537" w:rsidRPr="00121A8A" w:rsidRDefault="002C0537" w:rsidP="00697D13">
            <w:pPr>
              <w:rPr>
                <w:rFonts w:ascii="Century Gothic" w:eastAsia="Times New Roman" w:hAnsi="Century Gothic" w:cs="Arial"/>
                <w:b/>
                <w:bCs/>
                <w:color w:val="000000"/>
                <w:sz w:val="20"/>
                <w:szCs w:val="20"/>
                <w:lang w:eastAsia="nl-BE"/>
              </w:rPr>
            </w:pPr>
            <w:r w:rsidRPr="00121A8A">
              <w:rPr>
                <w:rFonts w:ascii="Century Gothic" w:eastAsia="Times New Roman" w:hAnsi="Century Gothic" w:cs="Arial"/>
                <w:b/>
                <w:bCs/>
                <w:color w:val="000000"/>
                <w:sz w:val="20"/>
                <w:szCs w:val="20"/>
                <w:lang w:eastAsia="nl-BE"/>
              </w:rPr>
              <w:t>General information</w:t>
            </w:r>
          </w:p>
        </w:tc>
      </w:tr>
      <w:tr w:rsidR="002C0537" w:rsidTr="00697D13">
        <w:tc>
          <w:tcPr>
            <w:tcW w:w="10456" w:type="dxa"/>
          </w:tcPr>
          <w:p w:rsidR="002C0537" w:rsidRPr="00121A8A" w:rsidRDefault="002C0537" w:rsidP="00697D13">
            <w:pPr>
              <w:rPr>
                <w:rFonts w:ascii="Century Gothic" w:eastAsia="Times New Roman" w:hAnsi="Century Gothic" w:cs="Arial"/>
                <w:color w:val="000000"/>
                <w:sz w:val="20"/>
                <w:szCs w:val="20"/>
                <w:lang w:val="uk-UA" w:eastAsia="nl-BE"/>
              </w:rPr>
            </w:pPr>
            <w:r w:rsidRPr="00121A8A">
              <w:rPr>
                <w:rFonts w:ascii="Century Gothic" w:eastAsia="Times New Roman" w:hAnsi="Century Gothic" w:cs="Arial"/>
                <w:b/>
                <w:color w:val="000000"/>
                <w:sz w:val="20"/>
                <w:szCs w:val="20"/>
                <w:lang w:eastAsia="nl-BE"/>
              </w:rPr>
              <w:t>Name of University</w:t>
            </w:r>
            <w:r w:rsidRPr="00121A8A">
              <w:rPr>
                <w:rFonts w:ascii="Century Gothic" w:eastAsia="Times New Roman" w:hAnsi="Century Gothic" w:cs="Arial"/>
                <w:color w:val="000000"/>
                <w:sz w:val="20"/>
                <w:szCs w:val="20"/>
                <w:lang w:eastAsia="nl-BE"/>
              </w:rPr>
              <w:t xml:space="preserve"> </w:t>
            </w:r>
            <w:r w:rsidRPr="00121A8A">
              <w:rPr>
                <w:rFonts w:ascii="Century Gothic" w:eastAsia="Times New Roman" w:hAnsi="Century Gothic" w:cs="Arial"/>
                <w:b/>
                <w:color w:val="000000"/>
                <w:sz w:val="20"/>
                <w:szCs w:val="20"/>
                <w:lang w:eastAsia="nl-BE"/>
              </w:rPr>
              <w:t>:</w:t>
            </w:r>
            <w:r w:rsidRPr="00121A8A">
              <w:rPr>
                <w:rFonts w:ascii="Century Gothic" w:hAnsi="Century Gothic"/>
                <w:b/>
                <w:sz w:val="20"/>
                <w:szCs w:val="20"/>
              </w:rPr>
              <w:t xml:space="preserve"> </w:t>
            </w:r>
            <w:r>
              <w:rPr>
                <w:rFonts w:ascii="Century Gothic" w:eastAsia="Times New Roman" w:hAnsi="Century Gothic" w:cs="Arial"/>
                <w:color w:val="000000"/>
                <w:sz w:val="20"/>
                <w:szCs w:val="20"/>
                <w:lang w:eastAsia="nl-BE"/>
              </w:rPr>
              <w:t>Khmelnytsky National University</w:t>
            </w:r>
          </w:p>
          <w:p w:rsidR="002C0537" w:rsidRPr="00121A8A" w:rsidRDefault="002C0537" w:rsidP="00697D13">
            <w:pPr>
              <w:rPr>
                <w:rFonts w:ascii="Century Gothic" w:eastAsia="Times New Roman" w:hAnsi="Century Gothic" w:cs="Arial"/>
                <w:b/>
                <w:color w:val="000000"/>
                <w:sz w:val="20"/>
                <w:szCs w:val="20"/>
                <w:lang w:val="uk-UA" w:eastAsia="nl-BE"/>
              </w:rPr>
            </w:pPr>
            <w:r w:rsidRPr="00121A8A">
              <w:rPr>
                <w:rFonts w:ascii="Century Gothic" w:eastAsia="Times New Roman" w:hAnsi="Century Gothic" w:cs="Arial"/>
                <w:b/>
                <w:color w:val="000000"/>
                <w:sz w:val="20"/>
                <w:szCs w:val="20"/>
                <w:lang w:eastAsia="nl-BE"/>
              </w:rPr>
              <w:t>Education :</w:t>
            </w:r>
            <w:r w:rsidRPr="00121A8A">
              <w:rPr>
                <w:rFonts w:ascii="Century Gothic" w:hAnsi="Century Gothic"/>
                <w:sz w:val="20"/>
                <w:szCs w:val="20"/>
              </w:rPr>
              <w:t xml:space="preserve"> </w:t>
            </w:r>
            <w:r w:rsidRPr="00121A8A">
              <w:rPr>
                <w:rFonts w:ascii="Century Gothic" w:eastAsia="Times New Roman" w:hAnsi="Century Gothic" w:cs="Arial"/>
                <w:color w:val="000000"/>
                <w:sz w:val="20"/>
                <w:szCs w:val="20"/>
                <w:lang w:eastAsia="nl-BE"/>
              </w:rPr>
              <w:t>Bachelor physical therapy, occupational therapy</w:t>
            </w:r>
          </w:p>
          <w:p w:rsidR="002C0537" w:rsidRPr="00D936E4" w:rsidRDefault="002C0537" w:rsidP="00697D13">
            <w:pPr>
              <w:rPr>
                <w:rFonts w:ascii="Century Gothic" w:eastAsia="Times New Roman" w:hAnsi="Century Gothic" w:cs="Arial"/>
                <w:b/>
                <w:color w:val="FF0000"/>
                <w:sz w:val="20"/>
                <w:szCs w:val="20"/>
                <w:lang w:val="uk-UA" w:eastAsia="nl-BE"/>
              </w:rPr>
            </w:pPr>
            <w:r w:rsidRPr="00121A8A">
              <w:rPr>
                <w:rFonts w:ascii="Century Gothic" w:eastAsia="Times New Roman" w:hAnsi="Century Gothic" w:cs="Arial"/>
                <w:b/>
                <w:color w:val="000000"/>
                <w:sz w:val="20"/>
                <w:szCs w:val="20"/>
                <w:lang w:eastAsia="nl-BE"/>
              </w:rPr>
              <w:t>Name of the course :</w:t>
            </w:r>
            <w:r w:rsidRPr="00121A8A">
              <w:rPr>
                <w:rFonts w:ascii="Century Gothic" w:hAnsi="Century Gothic"/>
                <w:sz w:val="20"/>
                <w:szCs w:val="20"/>
              </w:rPr>
              <w:t xml:space="preserve"> </w:t>
            </w:r>
            <w:r w:rsidRPr="00475163">
              <w:rPr>
                <w:rFonts w:ascii="Century Gothic" w:eastAsia="Times New Roman" w:hAnsi="Century Gothic" w:cs="Arial"/>
                <w:color w:val="000000"/>
                <w:sz w:val="20"/>
                <w:szCs w:val="20"/>
                <w:lang w:eastAsia="nl-BE"/>
              </w:rPr>
              <w:t>Pedagogy</w:t>
            </w:r>
          </w:p>
          <w:p w:rsidR="002C0537" w:rsidRPr="00121A8A" w:rsidRDefault="002C0537" w:rsidP="00697D13">
            <w:pPr>
              <w:rPr>
                <w:rFonts w:ascii="Century Gothic" w:eastAsia="Times New Roman" w:hAnsi="Century Gothic" w:cs="Arial"/>
                <w:color w:val="000000"/>
                <w:sz w:val="20"/>
                <w:szCs w:val="20"/>
                <w:lang w:eastAsia="nl-BE"/>
              </w:rPr>
            </w:pPr>
            <w:r w:rsidRPr="00121A8A">
              <w:rPr>
                <w:rFonts w:ascii="Century Gothic" w:eastAsia="Times New Roman" w:hAnsi="Century Gothic" w:cs="Arial"/>
                <w:b/>
                <w:color w:val="000000"/>
                <w:sz w:val="20"/>
                <w:szCs w:val="20"/>
                <w:lang w:eastAsia="nl-BE"/>
              </w:rPr>
              <w:t xml:space="preserve">ECTS :   </w:t>
            </w:r>
            <w:r>
              <w:rPr>
                <w:rFonts w:ascii="Century Gothic" w:eastAsia="Times New Roman" w:hAnsi="Century Gothic" w:cs="Arial"/>
                <w:color w:val="000000"/>
                <w:sz w:val="20"/>
                <w:szCs w:val="20"/>
                <w:lang w:val="en-US" w:eastAsia="nl-BE"/>
              </w:rPr>
              <w:t>4</w:t>
            </w:r>
            <w:r w:rsidRPr="00121A8A">
              <w:rPr>
                <w:rFonts w:ascii="Century Gothic" w:eastAsia="Times New Roman" w:hAnsi="Century Gothic" w:cs="Arial"/>
                <w:color w:val="000000"/>
                <w:sz w:val="20"/>
                <w:szCs w:val="20"/>
                <w:lang w:eastAsia="nl-BE"/>
              </w:rPr>
              <w:t xml:space="preserve"> </w:t>
            </w:r>
            <w:r w:rsidRPr="00121A8A">
              <w:rPr>
                <w:rFonts w:ascii="Century Gothic" w:eastAsia="Times New Roman" w:hAnsi="Century Gothic" w:cs="Arial"/>
                <w:b/>
                <w:color w:val="000000"/>
                <w:sz w:val="20"/>
                <w:szCs w:val="20"/>
                <w:lang w:eastAsia="nl-BE"/>
              </w:rPr>
              <w:t xml:space="preserve">                                                   Language :</w:t>
            </w:r>
            <w:r w:rsidRPr="00121A8A">
              <w:rPr>
                <w:rFonts w:ascii="Century Gothic" w:hAnsi="Century Gothic"/>
                <w:sz w:val="20"/>
                <w:szCs w:val="20"/>
              </w:rPr>
              <w:t xml:space="preserve"> </w:t>
            </w:r>
            <w:r w:rsidRPr="00121A8A">
              <w:rPr>
                <w:rFonts w:ascii="Century Gothic" w:eastAsia="Times New Roman" w:hAnsi="Century Gothic" w:cs="Arial"/>
                <w:color w:val="000000"/>
                <w:sz w:val="20"/>
                <w:szCs w:val="20"/>
                <w:lang w:eastAsia="nl-BE"/>
              </w:rPr>
              <w:t>Ukrainian</w:t>
            </w:r>
          </w:p>
          <w:p w:rsidR="002C0537" w:rsidRPr="00FE36CA" w:rsidRDefault="002C0537" w:rsidP="00697D13">
            <w:pPr>
              <w:rPr>
                <w:rFonts w:ascii="Century Gothic" w:eastAsia="Times New Roman" w:hAnsi="Century Gothic" w:cs="Arial"/>
                <w:color w:val="000000"/>
                <w:sz w:val="20"/>
                <w:szCs w:val="20"/>
                <w:lang w:val="en-US" w:eastAsia="nl-BE"/>
              </w:rPr>
            </w:pPr>
            <w:r w:rsidRPr="00121A8A">
              <w:rPr>
                <w:rFonts w:ascii="Century Gothic" w:eastAsia="Times New Roman" w:hAnsi="Century Gothic" w:cs="Arial"/>
                <w:b/>
                <w:color w:val="000000"/>
                <w:sz w:val="20"/>
                <w:szCs w:val="20"/>
                <w:lang w:eastAsia="nl-BE"/>
              </w:rPr>
              <w:t xml:space="preserve">Study time lessons:  </w:t>
            </w:r>
            <w:r>
              <w:rPr>
                <w:rFonts w:ascii="Century Gothic" w:eastAsia="Times New Roman" w:hAnsi="Century Gothic" w:cs="Arial"/>
                <w:color w:val="000000"/>
                <w:sz w:val="20"/>
                <w:szCs w:val="20"/>
                <w:lang w:val="uk-UA" w:eastAsia="nl-BE"/>
              </w:rPr>
              <w:t>51</w:t>
            </w:r>
            <w:r w:rsidRPr="00A543C8">
              <w:rPr>
                <w:rFonts w:ascii="Century Gothic" w:eastAsia="Times New Roman" w:hAnsi="Century Gothic" w:cs="Arial"/>
                <w:color w:val="000000"/>
                <w:sz w:val="20"/>
                <w:szCs w:val="20"/>
                <w:lang w:eastAsia="nl-BE"/>
              </w:rPr>
              <w:t xml:space="preserve">      </w:t>
            </w:r>
            <w:r w:rsidRPr="00121A8A">
              <w:rPr>
                <w:rFonts w:ascii="Century Gothic" w:eastAsia="Times New Roman" w:hAnsi="Century Gothic" w:cs="Arial"/>
                <w:b/>
                <w:color w:val="000000"/>
                <w:sz w:val="20"/>
                <w:szCs w:val="20"/>
                <w:lang w:eastAsia="nl-BE"/>
              </w:rPr>
              <w:t xml:space="preserve">                      </w:t>
            </w:r>
            <w:r w:rsidRPr="00121A8A">
              <w:rPr>
                <w:rFonts w:ascii="Century Gothic" w:eastAsia="Times New Roman" w:hAnsi="Century Gothic" w:cs="Arial"/>
                <w:b/>
                <w:color w:val="000000"/>
                <w:sz w:val="20"/>
                <w:szCs w:val="20"/>
                <w:lang w:val="uk-UA" w:eastAsia="nl-BE"/>
              </w:rPr>
              <w:t xml:space="preserve"> </w:t>
            </w:r>
            <w:r w:rsidRPr="00121A8A">
              <w:rPr>
                <w:rFonts w:ascii="Century Gothic" w:eastAsia="Times New Roman" w:hAnsi="Century Gothic" w:cs="Arial"/>
                <w:b/>
                <w:color w:val="000000"/>
                <w:sz w:val="20"/>
                <w:szCs w:val="20"/>
                <w:lang w:eastAsia="nl-BE"/>
              </w:rPr>
              <w:t>Study time students :</w:t>
            </w:r>
            <w:r w:rsidRPr="00121A8A">
              <w:rPr>
                <w:rFonts w:ascii="Century Gothic" w:eastAsia="Times New Roman" w:hAnsi="Century Gothic" w:cs="Arial"/>
                <w:b/>
                <w:color w:val="000000"/>
                <w:sz w:val="20"/>
                <w:szCs w:val="20"/>
                <w:lang w:val="uk-UA" w:eastAsia="nl-BE"/>
              </w:rPr>
              <w:t xml:space="preserve"> </w:t>
            </w:r>
            <w:r w:rsidRPr="006B5D25">
              <w:rPr>
                <w:rFonts w:ascii="Century Gothic" w:eastAsia="Times New Roman" w:hAnsi="Century Gothic" w:cs="Arial"/>
                <w:color w:val="000000"/>
                <w:sz w:val="20"/>
                <w:szCs w:val="20"/>
                <w:lang w:val="en-US" w:eastAsia="nl-BE"/>
              </w:rPr>
              <w:t>69</w:t>
            </w:r>
          </w:p>
          <w:p w:rsidR="002C0537" w:rsidRPr="00FE36CA" w:rsidRDefault="002C0537" w:rsidP="00697D13">
            <w:pPr>
              <w:rPr>
                <w:rFonts w:ascii="Century Gothic" w:eastAsia="Times New Roman" w:hAnsi="Century Gothic" w:cs="Arial"/>
                <w:color w:val="000000"/>
                <w:sz w:val="20"/>
                <w:szCs w:val="20"/>
                <w:lang w:val="uk-UA" w:eastAsia="nl-BE"/>
              </w:rPr>
            </w:pPr>
            <w:r w:rsidRPr="00121A8A">
              <w:rPr>
                <w:rFonts w:ascii="Century Gothic" w:eastAsia="Times New Roman" w:hAnsi="Century Gothic" w:cs="Arial"/>
                <w:b/>
                <w:color w:val="000000"/>
                <w:sz w:val="20"/>
                <w:szCs w:val="20"/>
                <w:lang w:eastAsia="nl-BE"/>
              </w:rPr>
              <w:t>Place of the course in the education (year &amp; semester) :</w:t>
            </w:r>
            <w:r w:rsidRPr="00121A8A">
              <w:rPr>
                <w:rFonts w:ascii="Century Gothic" w:hAnsi="Century Gothic"/>
                <w:sz w:val="20"/>
                <w:szCs w:val="20"/>
              </w:rPr>
              <w:t xml:space="preserve"> </w:t>
            </w:r>
            <w:r>
              <w:rPr>
                <w:rFonts w:ascii="Century Gothic" w:eastAsia="Times New Roman" w:hAnsi="Century Gothic" w:cs="Arial"/>
                <w:color w:val="000000"/>
                <w:sz w:val="20"/>
                <w:szCs w:val="20"/>
                <w:lang w:eastAsia="nl-BE"/>
              </w:rPr>
              <w:t xml:space="preserve">year </w:t>
            </w:r>
            <w:r>
              <w:rPr>
                <w:rFonts w:ascii="Century Gothic" w:eastAsia="Times New Roman" w:hAnsi="Century Gothic" w:cs="Arial"/>
                <w:color w:val="000000"/>
                <w:sz w:val="20"/>
                <w:szCs w:val="20"/>
                <w:lang w:val="en-US" w:eastAsia="nl-BE"/>
              </w:rPr>
              <w:t>1</w:t>
            </w:r>
            <w:r>
              <w:rPr>
                <w:rFonts w:ascii="Century Gothic" w:eastAsia="Times New Roman" w:hAnsi="Century Gothic" w:cs="Arial"/>
                <w:color w:val="000000"/>
                <w:sz w:val="20"/>
                <w:szCs w:val="20"/>
                <w:lang w:eastAsia="nl-BE"/>
              </w:rPr>
              <w:t xml:space="preserve">, semester </w:t>
            </w:r>
            <w:r>
              <w:rPr>
                <w:rFonts w:ascii="Century Gothic" w:eastAsia="Times New Roman" w:hAnsi="Century Gothic" w:cs="Arial"/>
                <w:color w:val="000000"/>
                <w:sz w:val="20"/>
                <w:szCs w:val="20"/>
                <w:lang w:val="en-US" w:eastAsia="nl-BE"/>
              </w:rPr>
              <w:t>2</w:t>
            </w:r>
          </w:p>
          <w:p w:rsidR="002C0537" w:rsidRPr="00121A8A" w:rsidRDefault="002C0537" w:rsidP="00697D13">
            <w:pPr>
              <w:rPr>
                <w:rFonts w:ascii="Century Gothic" w:eastAsia="Times New Roman" w:hAnsi="Century Gothic" w:cs="Arial"/>
                <w:color w:val="000000"/>
                <w:sz w:val="20"/>
                <w:szCs w:val="20"/>
                <w:lang w:val="uk-UA" w:eastAsia="nl-BE"/>
              </w:rPr>
            </w:pPr>
            <w:r w:rsidRPr="00121A8A">
              <w:rPr>
                <w:rFonts w:ascii="Century Gothic" w:eastAsia="Times New Roman" w:hAnsi="Century Gothic" w:cs="Arial"/>
                <w:b/>
                <w:color w:val="000000"/>
                <w:sz w:val="20"/>
                <w:szCs w:val="20"/>
                <w:lang w:eastAsia="nl-BE"/>
              </w:rPr>
              <w:t>Lector(s) :</w:t>
            </w:r>
          </w:p>
        </w:tc>
      </w:tr>
      <w:tr w:rsidR="002C0537" w:rsidRPr="00121A8A" w:rsidTr="00697D13">
        <w:tc>
          <w:tcPr>
            <w:tcW w:w="10456" w:type="dxa"/>
            <w:shd w:val="clear" w:color="auto" w:fill="E7E6E6" w:themeFill="background2"/>
          </w:tcPr>
          <w:p w:rsidR="002C0537" w:rsidRPr="00121A8A" w:rsidRDefault="002C0537" w:rsidP="00697D13">
            <w:pPr>
              <w:rPr>
                <w:rFonts w:ascii="Century Gothic" w:eastAsia="Times New Roman" w:hAnsi="Century Gothic" w:cs="Arial"/>
                <w:b/>
                <w:bCs/>
                <w:color w:val="000000"/>
                <w:sz w:val="20"/>
                <w:szCs w:val="20"/>
                <w:lang w:eastAsia="nl-BE"/>
              </w:rPr>
            </w:pPr>
            <w:bookmarkStart w:id="0" w:name="_GoBack"/>
            <w:bookmarkEnd w:id="0"/>
            <w:r w:rsidRPr="00121A8A">
              <w:rPr>
                <w:rFonts w:ascii="Century Gothic" w:eastAsia="Times New Roman" w:hAnsi="Century Gothic" w:cs="Arial"/>
                <w:b/>
                <w:bCs/>
                <w:color w:val="000000"/>
                <w:sz w:val="20"/>
                <w:szCs w:val="20"/>
                <w:lang w:eastAsia="nl-BE"/>
              </w:rPr>
              <w:t>Compentences / learning outcomes &amp; goals</w:t>
            </w:r>
          </w:p>
        </w:tc>
      </w:tr>
      <w:tr w:rsidR="002C0537" w:rsidRPr="00121A8A" w:rsidTr="00697D13">
        <w:tc>
          <w:tcPr>
            <w:tcW w:w="10456" w:type="dxa"/>
          </w:tcPr>
          <w:p w:rsidR="00EB7937" w:rsidRDefault="00EB7937" w:rsidP="00EB7937">
            <w:pPr>
              <w:widowControl w:val="0"/>
              <w:shd w:val="clear" w:color="auto" w:fill="FFFFFF"/>
              <w:tabs>
                <w:tab w:val="left" w:pos="416"/>
              </w:tabs>
              <w:spacing w:line="276" w:lineRule="auto"/>
              <w:ind w:left="2" w:right="40" w:hanging="2"/>
              <w:rPr>
                <w:sz w:val="24"/>
                <w:szCs w:val="24"/>
              </w:rPr>
            </w:pPr>
            <w:r>
              <w:rPr>
                <w:sz w:val="24"/>
                <w:szCs w:val="24"/>
              </w:rPr>
              <w:t>GC 04.</w:t>
            </w:r>
            <w:r>
              <w:t xml:space="preserve"> </w:t>
            </w:r>
            <w:r>
              <w:rPr>
                <w:sz w:val="24"/>
                <w:szCs w:val="24"/>
              </w:rPr>
              <w:t>Ability to work in a team.</w:t>
            </w:r>
          </w:p>
          <w:p w:rsidR="00EB7937" w:rsidRDefault="00EB7937" w:rsidP="00EB7937">
            <w:pPr>
              <w:widowControl w:val="0"/>
              <w:tabs>
                <w:tab w:val="left" w:pos="274"/>
              </w:tabs>
              <w:spacing w:line="276" w:lineRule="auto"/>
              <w:ind w:left="2" w:right="39" w:hanging="2"/>
              <w:rPr>
                <w:sz w:val="24"/>
                <w:szCs w:val="24"/>
              </w:rPr>
            </w:pPr>
            <w:r>
              <w:rPr>
                <w:sz w:val="24"/>
                <w:szCs w:val="24"/>
              </w:rPr>
              <w:t xml:space="preserve">PLR 15. Collaborate with specialists of the interdisciplinary team and, if necessary, refer the patient / client to other specialists. </w:t>
            </w:r>
          </w:p>
          <w:p w:rsidR="00EB7937" w:rsidRDefault="00EB7937" w:rsidP="00EB7937">
            <w:pPr>
              <w:widowControl w:val="0"/>
              <w:shd w:val="clear" w:color="auto" w:fill="FFFFFF"/>
              <w:tabs>
                <w:tab w:val="left" w:pos="416"/>
              </w:tabs>
              <w:spacing w:line="276" w:lineRule="auto"/>
              <w:ind w:left="2" w:right="40" w:hanging="2"/>
              <w:rPr>
                <w:sz w:val="24"/>
                <w:szCs w:val="24"/>
              </w:rPr>
            </w:pPr>
            <w:r>
              <w:rPr>
                <w:sz w:val="24"/>
                <w:szCs w:val="24"/>
              </w:rPr>
              <w:t>GC 06. Ability to communicate in the state language both orally and in writing.</w:t>
            </w:r>
          </w:p>
          <w:p w:rsidR="00EB7937" w:rsidRDefault="00EB7937" w:rsidP="00EB7937">
            <w:pPr>
              <w:widowControl w:val="0"/>
              <w:tabs>
                <w:tab w:val="left" w:pos="274"/>
              </w:tabs>
              <w:spacing w:line="276" w:lineRule="auto"/>
              <w:ind w:left="2" w:right="39" w:hanging="2"/>
              <w:rPr>
                <w:sz w:val="24"/>
                <w:szCs w:val="24"/>
              </w:rPr>
            </w:pPr>
            <w:r>
              <w:rPr>
                <w:sz w:val="24"/>
                <w:szCs w:val="24"/>
              </w:rPr>
              <w:t>PLR 04. To be proficient in the state language in oral and written communication, to know a foreign language in order to adopt international experience in the field of professional activity.</w:t>
            </w:r>
          </w:p>
          <w:p w:rsidR="00EB7937" w:rsidRDefault="00EB7937" w:rsidP="00EB7937">
            <w:pPr>
              <w:widowControl w:val="0"/>
              <w:shd w:val="clear" w:color="auto" w:fill="FFFFFF"/>
              <w:tabs>
                <w:tab w:val="left" w:pos="416"/>
              </w:tabs>
              <w:spacing w:line="276" w:lineRule="auto"/>
              <w:ind w:left="2" w:right="40" w:hanging="2"/>
              <w:rPr>
                <w:sz w:val="24"/>
                <w:szCs w:val="24"/>
              </w:rPr>
            </w:pPr>
            <w:r>
              <w:rPr>
                <w:sz w:val="24"/>
                <w:szCs w:val="24"/>
              </w:rPr>
              <w:t>GC 07. Ability to communicate in a second language.</w:t>
            </w:r>
          </w:p>
          <w:p w:rsidR="00EB7937" w:rsidRDefault="00EB7937" w:rsidP="00EB7937">
            <w:pPr>
              <w:widowControl w:val="0"/>
              <w:shd w:val="clear" w:color="auto" w:fill="FFFFFF"/>
              <w:tabs>
                <w:tab w:val="left" w:pos="416"/>
              </w:tabs>
              <w:spacing w:line="276" w:lineRule="auto"/>
              <w:ind w:left="2" w:right="40" w:hanging="2"/>
              <w:rPr>
                <w:sz w:val="24"/>
                <w:szCs w:val="24"/>
              </w:rPr>
            </w:pPr>
            <w:r>
              <w:rPr>
                <w:sz w:val="24"/>
                <w:szCs w:val="24"/>
              </w:rPr>
              <w:t>PLR 04.</w:t>
            </w:r>
          </w:p>
          <w:p w:rsidR="00EB7937" w:rsidRDefault="00EB7937" w:rsidP="00EB7937">
            <w:pPr>
              <w:widowControl w:val="0"/>
              <w:shd w:val="clear" w:color="auto" w:fill="FFFFFF"/>
              <w:tabs>
                <w:tab w:val="left" w:pos="416"/>
              </w:tabs>
              <w:spacing w:line="276" w:lineRule="auto"/>
              <w:ind w:left="2" w:right="40" w:hanging="2"/>
              <w:rPr>
                <w:sz w:val="24"/>
                <w:szCs w:val="24"/>
              </w:rPr>
            </w:pPr>
            <w:r>
              <w:rPr>
                <w:sz w:val="24"/>
                <w:szCs w:val="24"/>
              </w:rPr>
              <w:t>GC 11. Ability to learn and master modern knowledge.</w:t>
            </w:r>
          </w:p>
          <w:p w:rsidR="00EB7937" w:rsidRPr="005C6F76" w:rsidRDefault="00EB7937" w:rsidP="00EB7937">
            <w:pPr>
              <w:widowControl w:val="0"/>
              <w:tabs>
                <w:tab w:val="left" w:pos="274"/>
              </w:tabs>
              <w:spacing w:line="276" w:lineRule="auto"/>
              <w:ind w:left="2" w:right="39" w:hanging="2"/>
              <w:rPr>
                <w:sz w:val="24"/>
                <w:szCs w:val="24"/>
              </w:rPr>
            </w:pPr>
            <w:r>
              <w:rPr>
                <w:sz w:val="24"/>
                <w:szCs w:val="24"/>
              </w:rPr>
              <w:t>PLR 03. Use information and communication technologies to search, process and analyze information from various sources for the purpose of learning and mastering new skills.</w:t>
            </w:r>
          </w:p>
          <w:p w:rsidR="00EB7937" w:rsidRDefault="00EB7937" w:rsidP="00EB7937">
            <w:pPr>
              <w:ind w:left="2" w:hanging="2"/>
              <w:jc w:val="both"/>
              <w:rPr>
                <w:bCs/>
                <w:sz w:val="24"/>
                <w:szCs w:val="24"/>
              </w:rPr>
            </w:pPr>
            <w:r>
              <w:rPr>
                <w:bCs/>
                <w:sz w:val="24"/>
                <w:szCs w:val="24"/>
              </w:rPr>
              <w:t>SC 02. Ability to synthesize relevant knowledge from biological, medical, psychological, social, technological sciences together with theories of occupational activity and participation.</w:t>
            </w:r>
          </w:p>
          <w:p w:rsidR="00EB7937" w:rsidRPr="003E29DE" w:rsidRDefault="00EB7937" w:rsidP="00EB7937">
            <w:pPr>
              <w:widowControl w:val="0"/>
              <w:tabs>
                <w:tab w:val="left" w:pos="274"/>
              </w:tabs>
              <w:spacing w:line="276" w:lineRule="auto"/>
              <w:ind w:left="2" w:right="39" w:hanging="2"/>
              <w:rPr>
                <w:sz w:val="24"/>
                <w:szCs w:val="24"/>
              </w:rPr>
            </w:pPr>
            <w:r>
              <w:rPr>
                <w:sz w:val="24"/>
                <w:szCs w:val="24"/>
              </w:rPr>
              <w:t>PLR 05. Apply in practice the knowledge and understanding of the theoretical foundations of occupational therapy: understanding of the person as a whole, its occupational nature, the importance of daily occupational activity and the right to occupational justice, the relationship between the occupational activity of a person in the context of the environment, his/her health and well-being.</w:t>
            </w:r>
          </w:p>
          <w:p w:rsidR="00EB7937" w:rsidRDefault="00EB7937" w:rsidP="00EB7937">
            <w:pPr>
              <w:ind w:left="2" w:hanging="2"/>
              <w:jc w:val="both"/>
              <w:rPr>
                <w:bCs/>
                <w:sz w:val="24"/>
                <w:szCs w:val="24"/>
              </w:rPr>
            </w:pPr>
            <w:r>
              <w:rPr>
                <w:bCs/>
                <w:sz w:val="24"/>
                <w:szCs w:val="24"/>
              </w:rPr>
              <w:t xml:space="preserve"> SC 11. Ability to effectively use different types of professional reasoning, practice ethically, respecting patients / clients and taking into account the professional code of conduct for occupational therapists.</w:t>
            </w:r>
          </w:p>
          <w:p w:rsidR="00EB7937" w:rsidRPr="003E29DE" w:rsidRDefault="00EB7937" w:rsidP="00EB7937">
            <w:pPr>
              <w:widowControl w:val="0"/>
              <w:tabs>
                <w:tab w:val="left" w:pos="274"/>
              </w:tabs>
              <w:spacing w:line="276" w:lineRule="auto"/>
              <w:ind w:left="2" w:right="39" w:hanging="2"/>
              <w:rPr>
                <w:sz w:val="24"/>
                <w:szCs w:val="24"/>
              </w:rPr>
            </w:pPr>
            <w:r>
              <w:rPr>
                <w:sz w:val="24"/>
                <w:szCs w:val="24"/>
              </w:rPr>
              <w:t>PLR 02. Possess interpersonal skills with service users, interdisciplinary team specialists and other professionals, adhering to ethical rules and professional code of conduct for occupational therapists, creatively searching for and making the best decisions in collaboration with the team and patient / client.</w:t>
            </w:r>
          </w:p>
          <w:p w:rsidR="00EB7937" w:rsidRDefault="00EB7937" w:rsidP="00EB7937">
            <w:pPr>
              <w:widowControl w:val="0"/>
              <w:shd w:val="clear" w:color="auto" w:fill="FFFFFF"/>
              <w:ind w:left="2" w:right="39" w:hanging="2"/>
              <w:rPr>
                <w:bCs/>
                <w:sz w:val="24"/>
                <w:szCs w:val="24"/>
              </w:rPr>
            </w:pPr>
            <w:r>
              <w:rPr>
                <w:bCs/>
                <w:sz w:val="24"/>
                <w:szCs w:val="24"/>
              </w:rPr>
              <w:t>SC 17. Demonstrate continuous lifelong learning, the ability to adapt their current practice to changing conditions and find ways to continuously improve the quality of occupational therapy services.</w:t>
            </w:r>
          </w:p>
          <w:p w:rsidR="00EB7937" w:rsidRDefault="00EB7937" w:rsidP="00EB7937">
            <w:pPr>
              <w:ind w:left="2" w:hanging="2"/>
              <w:jc w:val="both"/>
              <w:rPr>
                <w:rFonts w:ascii="Arial" w:eastAsia="Times New Roman" w:hAnsi="Arial" w:cs="Arial"/>
                <w:color w:val="000000"/>
                <w:sz w:val="27"/>
                <w:szCs w:val="27"/>
                <w:lang w:eastAsia="nl-BE"/>
              </w:rPr>
            </w:pPr>
            <w:r>
              <w:rPr>
                <w:sz w:val="24"/>
                <w:szCs w:val="24"/>
              </w:rPr>
              <w:t>PLR 17. Continuously improve their professional development, improve the quality of occupational therapy care, disseminate knowledge of occupational therapy.</w:t>
            </w:r>
          </w:p>
          <w:p w:rsidR="002C0537" w:rsidRPr="00EB7937" w:rsidRDefault="002C0537" w:rsidP="00697D13">
            <w:pPr>
              <w:pStyle w:val="a3"/>
              <w:ind w:left="284"/>
              <w:rPr>
                <w:rFonts w:ascii="Century Gothic" w:eastAsia="Times New Roman" w:hAnsi="Century Gothic" w:cs="Arial"/>
                <w:color w:val="000000"/>
                <w:sz w:val="20"/>
                <w:szCs w:val="20"/>
                <w:lang w:eastAsia="nl-BE"/>
              </w:rPr>
            </w:pPr>
          </w:p>
        </w:tc>
      </w:tr>
      <w:tr w:rsidR="002C0537" w:rsidRPr="00121A8A" w:rsidTr="00697D13">
        <w:tc>
          <w:tcPr>
            <w:tcW w:w="10456" w:type="dxa"/>
            <w:shd w:val="clear" w:color="auto" w:fill="BFBFBF" w:themeFill="background1" w:themeFillShade="BF"/>
          </w:tcPr>
          <w:p w:rsidR="002C0537" w:rsidRPr="00121A8A" w:rsidRDefault="002C0537" w:rsidP="00697D13">
            <w:pPr>
              <w:rPr>
                <w:rFonts w:ascii="Century Gothic" w:hAnsi="Century Gothic" w:cs="Arial"/>
                <w:b/>
                <w:bCs/>
                <w:sz w:val="20"/>
                <w:szCs w:val="20"/>
              </w:rPr>
            </w:pPr>
            <w:r w:rsidRPr="00121A8A">
              <w:rPr>
                <w:rFonts w:ascii="Century Gothic" w:hAnsi="Century Gothic" w:cs="Arial"/>
                <w:b/>
                <w:bCs/>
                <w:sz w:val="20"/>
                <w:szCs w:val="20"/>
              </w:rPr>
              <w:t>Learning activities</w:t>
            </w:r>
          </w:p>
        </w:tc>
      </w:tr>
      <w:tr w:rsidR="002C0537" w:rsidRPr="00121A8A" w:rsidTr="00697D13">
        <w:tc>
          <w:tcPr>
            <w:tcW w:w="10456" w:type="dxa"/>
            <w:shd w:val="clear" w:color="auto" w:fill="E7E6E6" w:themeFill="background2"/>
          </w:tcPr>
          <w:p w:rsidR="002C0537" w:rsidRPr="00121A8A" w:rsidRDefault="002C0537" w:rsidP="00697D13">
            <w:pPr>
              <w:shd w:val="clear" w:color="auto" w:fill="FAFDFE"/>
              <w:outlineLvl w:val="1"/>
              <w:rPr>
                <w:rFonts w:ascii="Century Gothic" w:hAnsi="Century Gothic"/>
                <w:sz w:val="20"/>
                <w:szCs w:val="20"/>
              </w:rPr>
            </w:pPr>
            <w:r w:rsidRPr="00121A8A">
              <w:rPr>
                <w:rFonts w:ascii="Century Gothic" w:eastAsia="Times New Roman" w:hAnsi="Century Gothic" w:cs="Arial"/>
                <w:b/>
                <w:bCs/>
                <w:color w:val="000000"/>
                <w:sz w:val="20"/>
                <w:szCs w:val="20"/>
                <w:lang w:eastAsia="nl-BE"/>
              </w:rPr>
              <w:t xml:space="preserve">Content of the course : describe + content table  </w:t>
            </w:r>
          </w:p>
        </w:tc>
      </w:tr>
      <w:tr w:rsidR="002C0537" w:rsidRPr="00121A8A" w:rsidTr="00697D13">
        <w:tc>
          <w:tcPr>
            <w:tcW w:w="10456" w:type="dxa"/>
          </w:tcPr>
          <w:p w:rsidR="002C0537" w:rsidRPr="00A543C8" w:rsidRDefault="002C0537" w:rsidP="00EB7937">
            <w:pPr>
              <w:rPr>
                <w:rFonts w:ascii="Century Gothic" w:hAnsi="Century Gothic"/>
                <w:sz w:val="20"/>
                <w:szCs w:val="20"/>
                <w:lang w:val="uk-UA"/>
              </w:rPr>
            </w:pPr>
            <w:r w:rsidRPr="001405A1">
              <w:rPr>
                <w:rFonts w:ascii="Calibri" w:eastAsia="Calibri" w:hAnsi="Calibri" w:cs="Times New Roman"/>
                <w:lang w:val="en"/>
              </w:rPr>
              <w:t xml:space="preserve">The course on the laws, principles, </w:t>
            </w:r>
            <w:proofErr w:type="gramStart"/>
            <w:r w:rsidRPr="001405A1">
              <w:rPr>
                <w:rFonts w:ascii="Calibri" w:eastAsia="Calibri" w:hAnsi="Calibri" w:cs="Times New Roman"/>
                <w:lang w:val="en"/>
              </w:rPr>
              <w:t>forms</w:t>
            </w:r>
            <w:proofErr w:type="gramEnd"/>
            <w:r w:rsidRPr="001405A1">
              <w:rPr>
                <w:rFonts w:ascii="Calibri" w:eastAsia="Calibri" w:hAnsi="Calibri" w:cs="Times New Roman"/>
                <w:lang w:val="en"/>
              </w:rPr>
              <w:t xml:space="preserve">, methods of upbringing, education and training of a person at all stages of its age development. The course develops universal human qualities (discipline, responsibility, </w:t>
            </w:r>
            <w:proofErr w:type="gramStart"/>
            <w:r w:rsidRPr="001405A1">
              <w:rPr>
                <w:rFonts w:ascii="Calibri" w:eastAsia="Calibri" w:hAnsi="Calibri" w:cs="Times New Roman"/>
                <w:lang w:val="en"/>
              </w:rPr>
              <w:t>observation</w:t>
            </w:r>
            <w:proofErr w:type="gramEnd"/>
            <w:r w:rsidRPr="001405A1">
              <w:rPr>
                <w:rFonts w:ascii="Calibri" w:eastAsia="Calibri" w:hAnsi="Calibri" w:cs="Times New Roman"/>
                <w:lang w:val="en"/>
              </w:rPr>
              <w:t>), organizational, analytical, prognostic abilities, communicative skills, high moral standards, the desire for self-improvement.</w:t>
            </w:r>
            <w:r w:rsidRPr="001405A1">
              <w:rPr>
                <w:rFonts w:ascii="Calibri" w:eastAsia="Calibri" w:hAnsi="Calibri" w:cs="Times New Roman"/>
                <w:lang w:val="en"/>
              </w:rPr>
              <w:br/>
              <w:t>Content</w:t>
            </w:r>
            <w:proofErr w:type="gramStart"/>
            <w:r w:rsidRPr="001405A1">
              <w:rPr>
                <w:rFonts w:ascii="Calibri" w:eastAsia="Calibri" w:hAnsi="Calibri" w:cs="Times New Roman"/>
                <w:lang w:val="en"/>
              </w:rPr>
              <w:t>:</w:t>
            </w:r>
            <w:proofErr w:type="gramEnd"/>
            <w:r w:rsidRPr="001405A1">
              <w:rPr>
                <w:rFonts w:ascii="Calibri" w:eastAsia="Calibri" w:hAnsi="Calibri" w:cs="Times New Roman"/>
                <w:lang w:val="en"/>
              </w:rPr>
              <w:br/>
              <w:t>1. The subject and objectives of pedagogy. Methods of scientific and pedagogical research.</w:t>
            </w:r>
            <w:r w:rsidRPr="001405A1">
              <w:rPr>
                <w:rFonts w:ascii="Calibri" w:eastAsia="Calibri" w:hAnsi="Calibri" w:cs="Times New Roman"/>
                <w:lang w:val="en"/>
              </w:rPr>
              <w:br/>
              <w:t>2. Development, education and personality formation.</w:t>
            </w:r>
            <w:r w:rsidRPr="001405A1">
              <w:rPr>
                <w:rFonts w:ascii="Calibri" w:eastAsia="Calibri" w:hAnsi="Calibri" w:cs="Times New Roman"/>
                <w:lang w:val="en"/>
              </w:rPr>
              <w:br/>
              <w:t>3. Age features of the mental and physical development of students of different age groups.</w:t>
            </w:r>
            <w:r w:rsidRPr="001405A1">
              <w:rPr>
                <w:rFonts w:ascii="Calibri" w:eastAsia="Calibri" w:hAnsi="Calibri" w:cs="Times New Roman"/>
                <w:lang w:val="en"/>
              </w:rPr>
              <w:br/>
              <w:t>4. The subject and objectives of didactics</w:t>
            </w:r>
            <w:r w:rsidRPr="001405A1">
              <w:rPr>
                <w:rFonts w:ascii="Calibri" w:eastAsia="Calibri" w:hAnsi="Calibri" w:cs="Times New Roman"/>
                <w:lang w:val="en"/>
              </w:rPr>
              <w:br/>
              <w:t>5. Education system in Ukraine</w:t>
            </w:r>
            <w:r w:rsidRPr="001405A1">
              <w:rPr>
                <w:rFonts w:ascii="Calibri" w:eastAsia="Calibri" w:hAnsi="Calibri" w:cs="Times New Roman"/>
                <w:lang w:val="en"/>
              </w:rPr>
              <w:br/>
            </w:r>
            <w:r w:rsidRPr="001405A1">
              <w:rPr>
                <w:rFonts w:ascii="Calibri" w:eastAsia="Calibri" w:hAnsi="Calibri" w:cs="Times New Roman"/>
                <w:lang w:val="en"/>
              </w:rPr>
              <w:lastRenderedPageBreak/>
              <w:t>6. The learning process as a didactic system</w:t>
            </w:r>
            <w:r w:rsidRPr="001405A1">
              <w:rPr>
                <w:rFonts w:ascii="Calibri" w:eastAsia="Calibri" w:hAnsi="Calibri" w:cs="Times New Roman"/>
                <w:lang w:val="en"/>
              </w:rPr>
              <w:br/>
              <w:t>7. Patterns and principles of training</w:t>
            </w:r>
            <w:r w:rsidRPr="001405A1">
              <w:rPr>
                <w:rFonts w:ascii="Calibri" w:eastAsia="Calibri" w:hAnsi="Calibri" w:cs="Times New Roman"/>
                <w:lang w:val="en"/>
              </w:rPr>
              <w:br/>
              <w:t>8. Methods of teaching aids</w:t>
            </w:r>
            <w:r w:rsidRPr="001405A1">
              <w:rPr>
                <w:rFonts w:ascii="Calibri" w:eastAsia="Calibri" w:hAnsi="Calibri" w:cs="Times New Roman"/>
                <w:lang w:val="en"/>
              </w:rPr>
              <w:br/>
              <w:t>9. Forms of organization of training</w:t>
            </w:r>
            <w:r w:rsidRPr="001405A1">
              <w:rPr>
                <w:rFonts w:ascii="Calibri" w:eastAsia="Calibri" w:hAnsi="Calibri" w:cs="Times New Roman"/>
                <w:lang w:val="en"/>
              </w:rPr>
              <w:br/>
              <w:t>10. Monitoring and evaluation of student learning outcomes</w:t>
            </w:r>
            <w:r w:rsidRPr="001405A1">
              <w:rPr>
                <w:rFonts w:ascii="Calibri" w:eastAsia="Calibri" w:hAnsi="Calibri" w:cs="Times New Roman"/>
                <w:lang w:val="en"/>
              </w:rPr>
              <w:br/>
              <w:t xml:space="preserve">11. The essence of the educational process, </w:t>
            </w:r>
            <w:proofErr w:type="gramStart"/>
            <w:r w:rsidRPr="001405A1">
              <w:rPr>
                <w:rFonts w:ascii="Calibri" w:eastAsia="Calibri" w:hAnsi="Calibri" w:cs="Times New Roman"/>
                <w:lang w:val="en"/>
              </w:rPr>
              <w:t>its</w:t>
            </w:r>
            <w:proofErr w:type="gramEnd"/>
            <w:r w:rsidRPr="001405A1">
              <w:rPr>
                <w:rFonts w:ascii="Calibri" w:eastAsia="Calibri" w:hAnsi="Calibri" w:cs="Times New Roman"/>
                <w:lang w:val="en"/>
              </w:rPr>
              <w:t xml:space="preserve"> content. Values ​​of modern Ukrainian education.</w:t>
            </w:r>
            <w:r w:rsidRPr="001405A1">
              <w:rPr>
                <w:rFonts w:ascii="Calibri" w:eastAsia="Calibri" w:hAnsi="Calibri" w:cs="Times New Roman"/>
                <w:lang w:val="en"/>
              </w:rPr>
              <w:br/>
              <w:t>12. The team and personality.</w:t>
            </w:r>
            <w:r w:rsidRPr="001405A1">
              <w:rPr>
                <w:rFonts w:ascii="Calibri" w:eastAsia="Calibri" w:hAnsi="Calibri" w:cs="Times New Roman"/>
                <w:lang w:val="en"/>
              </w:rPr>
              <w:br/>
              <w:t>13. Joint activities of the school and the family in the upbringing and education of the child</w:t>
            </w:r>
          </w:p>
        </w:tc>
      </w:tr>
      <w:tr w:rsidR="002C0537" w:rsidRPr="00121A8A" w:rsidTr="00697D13">
        <w:tc>
          <w:tcPr>
            <w:tcW w:w="10456" w:type="dxa"/>
          </w:tcPr>
          <w:p w:rsidR="002C0537" w:rsidRPr="00121A8A" w:rsidRDefault="002C0537" w:rsidP="00697D13">
            <w:pPr>
              <w:shd w:val="clear" w:color="auto" w:fill="FAFDFE"/>
              <w:outlineLvl w:val="1"/>
              <w:rPr>
                <w:rFonts w:ascii="Century Gothic" w:hAnsi="Century Gothic"/>
                <w:sz w:val="20"/>
                <w:szCs w:val="20"/>
              </w:rPr>
            </w:pPr>
            <w:r w:rsidRPr="00121A8A">
              <w:rPr>
                <w:rFonts w:ascii="Century Gothic" w:eastAsia="Times New Roman" w:hAnsi="Century Gothic" w:cs="Arial"/>
                <w:b/>
                <w:bCs/>
                <w:color w:val="000000"/>
                <w:sz w:val="20"/>
                <w:szCs w:val="20"/>
                <w:lang w:eastAsia="nl-BE"/>
              </w:rPr>
              <w:lastRenderedPageBreak/>
              <w:t xml:space="preserve">Study material  </w:t>
            </w:r>
            <w:r w:rsidRPr="00121A8A">
              <w:rPr>
                <w:rFonts w:ascii="Century Gothic" w:eastAsia="Times New Roman" w:hAnsi="Century Gothic" w:cs="Arial"/>
                <w:color w:val="000000"/>
                <w:sz w:val="20"/>
                <w:szCs w:val="20"/>
                <w:lang w:eastAsia="nl-BE"/>
              </w:rPr>
              <w:t>Book – Syllabus – Textbook – Notes - Online material – Other (+specify)</w:t>
            </w:r>
          </w:p>
        </w:tc>
      </w:tr>
      <w:tr w:rsidR="002C0537" w:rsidRPr="00121A8A" w:rsidTr="00697D13">
        <w:tc>
          <w:tcPr>
            <w:tcW w:w="10456" w:type="dxa"/>
          </w:tcPr>
          <w:p w:rsidR="002C0537" w:rsidRPr="001405A1" w:rsidRDefault="002C0537" w:rsidP="00697D13">
            <w:pPr>
              <w:rPr>
                <w:rFonts w:ascii="Century Gothic" w:hAnsi="Century Gothic"/>
                <w:sz w:val="20"/>
                <w:szCs w:val="20"/>
              </w:rPr>
            </w:pPr>
            <w:r w:rsidRPr="001405A1">
              <w:rPr>
                <w:rFonts w:ascii="Century Gothic" w:hAnsi="Century Gothic"/>
                <w:sz w:val="20"/>
                <w:szCs w:val="20"/>
              </w:rPr>
              <w:t>1. Vyshnevsky O. Theoretical foundations of modern Ukrainian pedagogy: a guide for students. higher education institutions / OI Vyshnevsky. - Drogobich: Kolo, 2006. - 326 p.</w:t>
            </w:r>
          </w:p>
          <w:p w:rsidR="002C0537" w:rsidRPr="001405A1" w:rsidRDefault="002C0537" w:rsidP="00697D13">
            <w:pPr>
              <w:rPr>
                <w:rFonts w:ascii="Century Gothic" w:hAnsi="Century Gothic"/>
                <w:sz w:val="20"/>
                <w:szCs w:val="20"/>
              </w:rPr>
            </w:pPr>
            <w:r w:rsidRPr="001405A1">
              <w:rPr>
                <w:rFonts w:ascii="Century Gothic" w:hAnsi="Century Gothic"/>
                <w:sz w:val="20"/>
                <w:szCs w:val="20"/>
              </w:rPr>
              <w:t>2. Maksimyuk SP Pedagogy / SP Maksimyuk. - К .: Кондор, 2005. - 350 с.</w:t>
            </w:r>
          </w:p>
          <w:p w:rsidR="002C0537" w:rsidRPr="001405A1" w:rsidRDefault="002C0537" w:rsidP="00697D13">
            <w:pPr>
              <w:rPr>
                <w:rFonts w:ascii="Century Gothic" w:hAnsi="Century Gothic"/>
                <w:sz w:val="20"/>
                <w:szCs w:val="20"/>
              </w:rPr>
            </w:pPr>
            <w:r w:rsidRPr="001405A1">
              <w:rPr>
                <w:rFonts w:ascii="Century Gothic" w:hAnsi="Century Gothic"/>
                <w:sz w:val="20"/>
                <w:szCs w:val="20"/>
              </w:rPr>
              <w:t>3. Nadimyanova TV Pedagogy: methodical materials for seminars / T. V. Nadimyanov. - Drohobych: RVV DDPU imeni Ivan Franko, 2012.-108 p.</w:t>
            </w:r>
          </w:p>
          <w:p w:rsidR="002C0537" w:rsidRPr="009C7B97" w:rsidRDefault="002C0537" w:rsidP="00697D13">
            <w:pPr>
              <w:rPr>
                <w:rFonts w:ascii="Century Gothic" w:hAnsi="Century Gothic"/>
                <w:sz w:val="20"/>
                <w:szCs w:val="20"/>
                <w:lang w:val="uk-UA"/>
              </w:rPr>
            </w:pPr>
            <w:r w:rsidRPr="001405A1">
              <w:rPr>
                <w:rFonts w:ascii="Century Gothic" w:hAnsi="Century Gothic"/>
                <w:sz w:val="20"/>
                <w:szCs w:val="20"/>
              </w:rPr>
              <w:t>4. Stepanov OM Fundamentals of psychology and pedagogy: manual / OM Stepanov, MM Fitsula. - К.: Академвидав, 2003. - 504 с</w:t>
            </w:r>
          </w:p>
        </w:tc>
      </w:tr>
      <w:tr w:rsidR="002C0537" w:rsidRPr="00121A8A" w:rsidTr="00697D13">
        <w:tc>
          <w:tcPr>
            <w:tcW w:w="10456" w:type="dxa"/>
          </w:tcPr>
          <w:p w:rsidR="002C0537" w:rsidRPr="00121A8A" w:rsidRDefault="002C0537" w:rsidP="00697D13">
            <w:pPr>
              <w:shd w:val="clear" w:color="auto" w:fill="FAFDFE"/>
              <w:outlineLvl w:val="1"/>
              <w:rPr>
                <w:rFonts w:ascii="Century Gothic" w:hAnsi="Century Gothic"/>
                <w:sz w:val="20"/>
                <w:szCs w:val="20"/>
              </w:rPr>
            </w:pPr>
            <w:r w:rsidRPr="00121A8A">
              <w:rPr>
                <w:rFonts w:ascii="Century Gothic" w:eastAsia="Times New Roman" w:hAnsi="Century Gothic" w:cs="Arial"/>
                <w:b/>
                <w:bCs/>
                <w:color w:val="000000"/>
                <w:sz w:val="20"/>
                <w:szCs w:val="20"/>
                <w:lang w:eastAsia="nl-BE"/>
              </w:rPr>
              <w:t xml:space="preserve">Educational methods  </w:t>
            </w:r>
            <w:r w:rsidRPr="00121A8A">
              <w:rPr>
                <w:rFonts w:ascii="Century Gothic" w:eastAsia="Times New Roman" w:hAnsi="Century Gothic" w:cs="Arial"/>
                <w:color w:val="000000"/>
                <w:sz w:val="20"/>
                <w:szCs w:val="20"/>
                <w:lang w:eastAsia="nl-BE"/>
              </w:rPr>
              <w:t>Lecture – Excursion – group work – Other (+specify)</w:t>
            </w:r>
          </w:p>
        </w:tc>
      </w:tr>
      <w:tr w:rsidR="002C0537" w:rsidRPr="00121A8A" w:rsidTr="00697D13">
        <w:tc>
          <w:tcPr>
            <w:tcW w:w="10456" w:type="dxa"/>
          </w:tcPr>
          <w:p w:rsidR="002C0537" w:rsidRPr="00672A6F" w:rsidRDefault="002C0537" w:rsidP="00697D13">
            <w:pPr>
              <w:rPr>
                <w:rFonts w:ascii="Century Gothic" w:hAnsi="Century Gothic"/>
                <w:sz w:val="20"/>
                <w:szCs w:val="20"/>
                <w:lang w:val="uk-UA"/>
              </w:rPr>
            </w:pPr>
            <w:proofErr w:type="spellStart"/>
            <w:r w:rsidRPr="00672A6F">
              <w:rPr>
                <w:rFonts w:ascii="Century Gothic" w:hAnsi="Century Gothic"/>
                <w:sz w:val="20"/>
                <w:szCs w:val="20"/>
                <w:lang w:val="uk-UA"/>
              </w:rPr>
              <w:t>Lecture</w:t>
            </w:r>
            <w:proofErr w:type="spellEnd"/>
            <w:r w:rsidRPr="00672A6F">
              <w:rPr>
                <w:rFonts w:ascii="Century Gothic" w:hAnsi="Century Gothic"/>
                <w:sz w:val="20"/>
                <w:szCs w:val="20"/>
                <w:lang w:val="uk-UA"/>
              </w:rPr>
              <w:t>.</w:t>
            </w:r>
          </w:p>
          <w:p w:rsidR="002C0537" w:rsidRDefault="002C0537" w:rsidP="00697D13">
            <w:pPr>
              <w:rPr>
                <w:rFonts w:ascii="Century Gothic" w:hAnsi="Century Gothic"/>
                <w:sz w:val="20"/>
                <w:szCs w:val="20"/>
                <w:lang w:val="uk-UA"/>
              </w:rPr>
            </w:pPr>
            <w:proofErr w:type="spellStart"/>
            <w:r w:rsidRPr="00672A6F">
              <w:rPr>
                <w:rFonts w:ascii="Century Gothic" w:hAnsi="Century Gothic"/>
                <w:sz w:val="20"/>
                <w:szCs w:val="20"/>
                <w:lang w:val="uk-UA"/>
              </w:rPr>
              <w:t>Practical</w:t>
            </w:r>
            <w:proofErr w:type="spellEnd"/>
            <w:r w:rsidRPr="00672A6F">
              <w:rPr>
                <w:rFonts w:ascii="Century Gothic" w:hAnsi="Century Gothic"/>
                <w:sz w:val="20"/>
                <w:szCs w:val="20"/>
                <w:lang w:val="uk-UA"/>
              </w:rPr>
              <w:t xml:space="preserve"> </w:t>
            </w:r>
            <w:proofErr w:type="spellStart"/>
            <w:r w:rsidRPr="00672A6F">
              <w:rPr>
                <w:rFonts w:ascii="Century Gothic" w:hAnsi="Century Gothic"/>
                <w:sz w:val="20"/>
                <w:szCs w:val="20"/>
                <w:lang w:val="uk-UA"/>
              </w:rPr>
              <w:t>classes</w:t>
            </w:r>
            <w:proofErr w:type="spellEnd"/>
            <w:r w:rsidRPr="00672A6F">
              <w:rPr>
                <w:rFonts w:ascii="Century Gothic" w:hAnsi="Century Gothic"/>
                <w:sz w:val="20"/>
                <w:szCs w:val="20"/>
                <w:lang w:val="uk-UA"/>
              </w:rPr>
              <w:t xml:space="preserve">. </w:t>
            </w:r>
          </w:p>
          <w:p w:rsidR="002C0537" w:rsidRPr="00672A6F" w:rsidRDefault="002C0537" w:rsidP="00697D13">
            <w:pPr>
              <w:rPr>
                <w:rFonts w:ascii="Century Gothic" w:hAnsi="Century Gothic"/>
                <w:sz w:val="20"/>
                <w:szCs w:val="20"/>
                <w:lang w:val="uk-UA"/>
              </w:rPr>
            </w:pPr>
            <w:proofErr w:type="spellStart"/>
            <w:r w:rsidRPr="009C7B97">
              <w:rPr>
                <w:rFonts w:ascii="Century Gothic" w:hAnsi="Century Gothic"/>
                <w:sz w:val="20"/>
                <w:szCs w:val="20"/>
                <w:lang w:val="uk-UA"/>
              </w:rPr>
              <w:t>individual</w:t>
            </w:r>
            <w:proofErr w:type="spellEnd"/>
            <w:r w:rsidRPr="009C7B97">
              <w:rPr>
                <w:rFonts w:ascii="Century Gothic" w:hAnsi="Century Gothic"/>
                <w:sz w:val="20"/>
                <w:szCs w:val="20"/>
                <w:lang w:val="uk-UA"/>
              </w:rPr>
              <w:t xml:space="preserve"> </w:t>
            </w:r>
            <w:proofErr w:type="spellStart"/>
            <w:r w:rsidRPr="009C7B97">
              <w:rPr>
                <w:rFonts w:ascii="Century Gothic" w:hAnsi="Century Gothic"/>
                <w:sz w:val="20"/>
                <w:szCs w:val="20"/>
                <w:lang w:val="uk-UA"/>
              </w:rPr>
              <w:t>tasks</w:t>
            </w:r>
            <w:proofErr w:type="spellEnd"/>
          </w:p>
          <w:p w:rsidR="002C0537" w:rsidRPr="00121A8A" w:rsidRDefault="002C0537" w:rsidP="00697D13">
            <w:pPr>
              <w:rPr>
                <w:rFonts w:ascii="Century Gothic" w:hAnsi="Century Gothic"/>
                <w:sz w:val="20"/>
                <w:szCs w:val="20"/>
              </w:rPr>
            </w:pPr>
            <w:proofErr w:type="spellStart"/>
            <w:r w:rsidRPr="00672A6F">
              <w:rPr>
                <w:rFonts w:ascii="Century Gothic" w:hAnsi="Century Gothic"/>
                <w:sz w:val="20"/>
                <w:szCs w:val="20"/>
                <w:lang w:val="uk-UA"/>
              </w:rPr>
              <w:t>Self-employment</w:t>
            </w:r>
            <w:proofErr w:type="spellEnd"/>
            <w:r w:rsidRPr="00672A6F">
              <w:rPr>
                <w:rFonts w:ascii="Century Gothic" w:hAnsi="Century Gothic"/>
                <w:sz w:val="20"/>
                <w:szCs w:val="20"/>
                <w:lang w:val="uk-UA"/>
              </w:rPr>
              <w:t>.</w:t>
            </w:r>
            <w:r>
              <w:t xml:space="preserve"> </w:t>
            </w:r>
          </w:p>
        </w:tc>
      </w:tr>
    </w:tbl>
    <w:p w:rsidR="002C0537" w:rsidRPr="00121A8A" w:rsidRDefault="002C0537" w:rsidP="002C0537">
      <w:pPr>
        <w:rPr>
          <w:rFonts w:ascii="Century Gothic" w:hAnsi="Century Gothic"/>
          <w:sz w:val="20"/>
          <w:szCs w:val="20"/>
        </w:rPr>
      </w:pPr>
    </w:p>
    <w:tbl>
      <w:tblPr>
        <w:tblStyle w:val="a4"/>
        <w:tblW w:w="0" w:type="auto"/>
        <w:tblLook w:val="04A0" w:firstRow="1" w:lastRow="0" w:firstColumn="1" w:lastColumn="0" w:noHBand="0" w:noVBand="1"/>
      </w:tblPr>
      <w:tblGrid>
        <w:gridCol w:w="10456"/>
      </w:tblGrid>
      <w:tr w:rsidR="002C0537" w:rsidRPr="00121A8A" w:rsidTr="00697D13">
        <w:tc>
          <w:tcPr>
            <w:tcW w:w="10456" w:type="dxa"/>
            <w:shd w:val="clear" w:color="auto" w:fill="FFFFFF" w:themeFill="background1"/>
          </w:tcPr>
          <w:p w:rsidR="002C0537" w:rsidRPr="00121A8A" w:rsidRDefault="002C0537" w:rsidP="00697D13">
            <w:pPr>
              <w:shd w:val="clear" w:color="auto" w:fill="FAFDFE"/>
              <w:outlineLvl w:val="1"/>
              <w:rPr>
                <w:rFonts w:ascii="Century Gothic" w:eastAsia="Times New Roman" w:hAnsi="Century Gothic" w:cs="Arial"/>
                <w:b/>
                <w:bCs/>
                <w:color w:val="000000"/>
                <w:sz w:val="20"/>
                <w:szCs w:val="20"/>
                <w:lang w:eastAsia="nl-BE"/>
              </w:rPr>
            </w:pPr>
            <w:r w:rsidRPr="00121A8A">
              <w:rPr>
                <w:rFonts w:ascii="Century Gothic" w:eastAsia="Times New Roman" w:hAnsi="Century Gothic" w:cs="Arial"/>
                <w:b/>
                <w:bCs/>
                <w:color w:val="000000"/>
                <w:sz w:val="20"/>
                <w:szCs w:val="20"/>
                <w:lang w:eastAsia="nl-BE"/>
              </w:rPr>
              <w:t>Evaluation</w:t>
            </w:r>
          </w:p>
        </w:tc>
      </w:tr>
      <w:tr w:rsidR="002C0537" w:rsidRPr="00121A8A" w:rsidTr="00697D13">
        <w:tc>
          <w:tcPr>
            <w:tcW w:w="10456" w:type="dxa"/>
            <w:shd w:val="clear" w:color="auto" w:fill="FFFFFF" w:themeFill="background1"/>
          </w:tcPr>
          <w:p w:rsidR="002C0537" w:rsidRPr="00121A8A" w:rsidRDefault="002C0537" w:rsidP="00697D13">
            <w:pPr>
              <w:shd w:val="clear" w:color="auto" w:fill="FAFDFE"/>
              <w:outlineLvl w:val="1"/>
              <w:rPr>
                <w:rFonts w:ascii="Century Gothic" w:eastAsia="Times New Roman" w:hAnsi="Century Gothic" w:cs="Arial"/>
                <w:b/>
                <w:bCs/>
                <w:color w:val="000000"/>
                <w:sz w:val="20"/>
                <w:szCs w:val="20"/>
                <w:lang w:eastAsia="nl-BE"/>
              </w:rPr>
            </w:pPr>
            <w:r w:rsidRPr="00121A8A">
              <w:rPr>
                <w:rFonts w:ascii="Century Gothic" w:eastAsia="Times New Roman" w:hAnsi="Century Gothic" w:cs="Arial"/>
                <w:b/>
                <w:bCs/>
                <w:color w:val="000000"/>
                <w:sz w:val="20"/>
                <w:szCs w:val="20"/>
                <w:lang w:eastAsia="nl-BE"/>
              </w:rPr>
              <w:t>Moment of evaluation</w:t>
            </w:r>
          </w:p>
          <w:p w:rsidR="002C0537" w:rsidRPr="00121A8A" w:rsidRDefault="002C0537" w:rsidP="00697D13">
            <w:pPr>
              <w:shd w:val="clear" w:color="auto" w:fill="FAFDFE"/>
              <w:outlineLvl w:val="1"/>
              <w:rPr>
                <w:rFonts w:ascii="Century Gothic" w:eastAsia="Times New Roman" w:hAnsi="Century Gothic" w:cs="Arial"/>
                <w:b/>
                <w:bCs/>
                <w:color w:val="000000"/>
                <w:sz w:val="20"/>
                <w:szCs w:val="20"/>
                <w:lang w:eastAsia="nl-BE"/>
              </w:rPr>
            </w:pPr>
            <w:r w:rsidRPr="00121A8A">
              <w:rPr>
                <w:rFonts w:ascii="Century Gothic" w:eastAsia="Times New Roman" w:hAnsi="Century Gothic" w:cs="Arial"/>
                <w:b/>
                <w:bCs/>
                <w:color w:val="000000"/>
                <w:sz w:val="20"/>
                <w:szCs w:val="20"/>
                <w:lang w:eastAsia="nl-BE"/>
              </w:rPr>
              <w:t>Evaluation form</w:t>
            </w:r>
          </w:p>
          <w:p w:rsidR="002C0537" w:rsidRPr="00DF536C" w:rsidRDefault="002C0537" w:rsidP="002C0537">
            <w:pPr>
              <w:pStyle w:val="a3"/>
              <w:numPr>
                <w:ilvl w:val="0"/>
                <w:numId w:val="1"/>
              </w:numPr>
              <w:rPr>
                <w:rFonts w:ascii="Century Gothic" w:eastAsia="Times New Roman" w:hAnsi="Century Gothic" w:cs="Arial"/>
                <w:color w:val="000000"/>
                <w:sz w:val="20"/>
                <w:szCs w:val="20"/>
                <w:lang w:eastAsia="nl-BE"/>
              </w:rPr>
            </w:pPr>
            <w:r w:rsidRPr="00DF536C">
              <w:rPr>
                <w:rFonts w:ascii="Century Gothic" w:eastAsia="Times New Roman" w:hAnsi="Century Gothic" w:cs="Arial"/>
                <w:color w:val="000000"/>
                <w:sz w:val="20"/>
                <w:szCs w:val="20"/>
                <w:lang w:eastAsia="nl-BE"/>
              </w:rPr>
              <w:t xml:space="preserve">oral and written questioning (testing), </w:t>
            </w:r>
          </w:p>
          <w:p w:rsidR="002C0537" w:rsidRDefault="002C0537" w:rsidP="002C0537">
            <w:pPr>
              <w:pStyle w:val="a3"/>
              <w:numPr>
                <w:ilvl w:val="0"/>
                <w:numId w:val="1"/>
              </w:numPr>
              <w:shd w:val="clear" w:color="auto" w:fill="FAFDFE"/>
              <w:outlineLvl w:val="1"/>
              <w:rPr>
                <w:rFonts w:ascii="Century Gothic" w:eastAsia="Times New Roman" w:hAnsi="Century Gothic" w:cs="Arial"/>
                <w:color w:val="000000"/>
                <w:sz w:val="20"/>
                <w:szCs w:val="20"/>
                <w:lang w:val="uk-UA" w:eastAsia="nl-BE"/>
              </w:rPr>
            </w:pPr>
            <w:proofErr w:type="spellStart"/>
            <w:r w:rsidRPr="002D0B36">
              <w:rPr>
                <w:rFonts w:ascii="Century Gothic" w:eastAsia="Times New Roman" w:hAnsi="Century Gothic" w:cs="Arial"/>
                <w:color w:val="000000"/>
                <w:sz w:val="20"/>
                <w:szCs w:val="20"/>
                <w:lang w:val="uk-UA" w:eastAsia="nl-BE"/>
              </w:rPr>
              <w:t>written</w:t>
            </w:r>
            <w:proofErr w:type="spellEnd"/>
            <w:r w:rsidRPr="002D0B36">
              <w:rPr>
                <w:rFonts w:ascii="Century Gothic" w:eastAsia="Times New Roman" w:hAnsi="Century Gothic" w:cs="Arial"/>
                <w:color w:val="000000"/>
                <w:sz w:val="20"/>
                <w:szCs w:val="20"/>
                <w:lang w:val="uk-UA" w:eastAsia="nl-BE"/>
              </w:rPr>
              <w:t xml:space="preserve"> </w:t>
            </w:r>
            <w:proofErr w:type="spellStart"/>
            <w:r w:rsidRPr="002D0B36">
              <w:rPr>
                <w:rFonts w:ascii="Century Gothic" w:eastAsia="Times New Roman" w:hAnsi="Century Gothic" w:cs="Arial"/>
                <w:color w:val="000000"/>
                <w:sz w:val="20"/>
                <w:szCs w:val="20"/>
                <w:lang w:val="uk-UA" w:eastAsia="nl-BE"/>
              </w:rPr>
              <w:t>test</w:t>
            </w:r>
            <w:proofErr w:type="spellEnd"/>
            <w:r w:rsidRPr="002D0B36">
              <w:rPr>
                <w:rFonts w:ascii="Century Gothic" w:eastAsia="Times New Roman" w:hAnsi="Century Gothic" w:cs="Arial"/>
                <w:color w:val="000000"/>
                <w:sz w:val="20"/>
                <w:szCs w:val="20"/>
                <w:lang w:val="uk-UA" w:eastAsia="nl-BE"/>
              </w:rPr>
              <w:t>,</w:t>
            </w:r>
          </w:p>
          <w:p w:rsidR="002C0537" w:rsidRPr="002D0B36" w:rsidRDefault="002C0537" w:rsidP="002C0537">
            <w:pPr>
              <w:pStyle w:val="a3"/>
              <w:numPr>
                <w:ilvl w:val="0"/>
                <w:numId w:val="1"/>
              </w:numPr>
              <w:shd w:val="clear" w:color="auto" w:fill="FAFDFE"/>
              <w:outlineLvl w:val="1"/>
              <w:rPr>
                <w:rFonts w:ascii="Century Gothic" w:eastAsia="Times New Roman" w:hAnsi="Century Gothic" w:cs="Arial"/>
                <w:color w:val="000000"/>
                <w:sz w:val="20"/>
                <w:szCs w:val="20"/>
                <w:lang w:val="uk-UA" w:eastAsia="nl-BE"/>
              </w:rPr>
            </w:pPr>
            <w:proofErr w:type="spellStart"/>
            <w:r w:rsidRPr="009C7B97">
              <w:rPr>
                <w:rFonts w:ascii="Century Gothic" w:eastAsia="Times New Roman" w:hAnsi="Century Gothic" w:cs="Arial"/>
                <w:color w:val="000000"/>
                <w:sz w:val="20"/>
                <w:szCs w:val="20"/>
                <w:lang w:val="uk-UA" w:eastAsia="nl-BE"/>
              </w:rPr>
              <w:t>evaluation</w:t>
            </w:r>
            <w:proofErr w:type="spellEnd"/>
            <w:r w:rsidRPr="009C7B97">
              <w:rPr>
                <w:rFonts w:ascii="Century Gothic" w:eastAsia="Times New Roman" w:hAnsi="Century Gothic" w:cs="Arial"/>
                <w:color w:val="000000"/>
                <w:sz w:val="20"/>
                <w:szCs w:val="20"/>
                <w:lang w:val="uk-UA" w:eastAsia="nl-BE"/>
              </w:rPr>
              <w:t xml:space="preserve"> </w:t>
            </w:r>
            <w:proofErr w:type="spellStart"/>
            <w:r w:rsidRPr="009C7B97">
              <w:rPr>
                <w:rFonts w:ascii="Century Gothic" w:eastAsia="Times New Roman" w:hAnsi="Century Gothic" w:cs="Arial"/>
                <w:color w:val="000000"/>
                <w:sz w:val="20"/>
                <w:szCs w:val="20"/>
                <w:lang w:val="uk-UA" w:eastAsia="nl-BE"/>
              </w:rPr>
              <w:t>of</w:t>
            </w:r>
            <w:proofErr w:type="spellEnd"/>
            <w:r w:rsidRPr="009C7B97">
              <w:rPr>
                <w:rFonts w:ascii="Century Gothic" w:eastAsia="Times New Roman" w:hAnsi="Century Gothic" w:cs="Arial"/>
                <w:color w:val="000000"/>
                <w:sz w:val="20"/>
                <w:szCs w:val="20"/>
                <w:lang w:val="uk-UA" w:eastAsia="nl-BE"/>
              </w:rPr>
              <w:t xml:space="preserve"> </w:t>
            </w:r>
            <w:proofErr w:type="spellStart"/>
            <w:r w:rsidRPr="009C7B97">
              <w:rPr>
                <w:rFonts w:ascii="Century Gothic" w:eastAsia="Times New Roman" w:hAnsi="Century Gothic" w:cs="Arial"/>
                <w:color w:val="000000"/>
                <w:sz w:val="20"/>
                <w:szCs w:val="20"/>
                <w:lang w:val="uk-UA" w:eastAsia="nl-BE"/>
              </w:rPr>
              <w:t>individual</w:t>
            </w:r>
            <w:proofErr w:type="spellEnd"/>
            <w:r w:rsidRPr="009C7B97">
              <w:rPr>
                <w:rFonts w:ascii="Century Gothic" w:eastAsia="Times New Roman" w:hAnsi="Century Gothic" w:cs="Arial"/>
                <w:color w:val="000000"/>
                <w:sz w:val="20"/>
                <w:szCs w:val="20"/>
                <w:lang w:val="uk-UA" w:eastAsia="nl-BE"/>
              </w:rPr>
              <w:t xml:space="preserve"> </w:t>
            </w:r>
            <w:proofErr w:type="spellStart"/>
            <w:r w:rsidRPr="009C7B97">
              <w:rPr>
                <w:rFonts w:ascii="Century Gothic" w:eastAsia="Times New Roman" w:hAnsi="Century Gothic" w:cs="Arial"/>
                <w:color w:val="000000"/>
                <w:sz w:val="20"/>
                <w:szCs w:val="20"/>
                <w:lang w:val="uk-UA" w:eastAsia="nl-BE"/>
              </w:rPr>
              <w:t>task</w:t>
            </w:r>
            <w:proofErr w:type="spellEnd"/>
            <w:r w:rsidRPr="009C7B97">
              <w:rPr>
                <w:rFonts w:ascii="Century Gothic" w:eastAsia="Times New Roman" w:hAnsi="Century Gothic" w:cs="Arial"/>
                <w:color w:val="000000"/>
                <w:sz w:val="20"/>
                <w:szCs w:val="20"/>
                <w:lang w:val="uk-UA" w:eastAsia="nl-BE"/>
              </w:rPr>
              <w:t>,</w:t>
            </w:r>
          </w:p>
          <w:p w:rsidR="002C0537" w:rsidRPr="00080DB9" w:rsidRDefault="002C0537" w:rsidP="002C0537">
            <w:pPr>
              <w:pStyle w:val="a3"/>
              <w:numPr>
                <w:ilvl w:val="0"/>
                <w:numId w:val="1"/>
              </w:numPr>
              <w:shd w:val="clear" w:color="auto" w:fill="FAFDFE"/>
              <w:outlineLvl w:val="1"/>
              <w:rPr>
                <w:rFonts w:ascii="Century Gothic" w:hAnsi="Century Gothic"/>
                <w:sz w:val="20"/>
                <w:szCs w:val="20"/>
              </w:rPr>
            </w:pPr>
            <w:proofErr w:type="spellStart"/>
            <w:r w:rsidRPr="009C7B97">
              <w:rPr>
                <w:rFonts w:ascii="Century Gothic" w:eastAsia="Times New Roman" w:hAnsi="Century Gothic" w:cs="Arial"/>
                <w:color w:val="000000"/>
                <w:sz w:val="20"/>
                <w:szCs w:val="20"/>
                <w:lang w:val="uk-UA" w:eastAsia="nl-BE"/>
              </w:rPr>
              <w:t>written</w:t>
            </w:r>
            <w:proofErr w:type="spellEnd"/>
            <w:r w:rsidRPr="009C7B97">
              <w:rPr>
                <w:rFonts w:ascii="Century Gothic" w:eastAsia="Times New Roman" w:hAnsi="Century Gothic" w:cs="Arial"/>
                <w:color w:val="000000"/>
                <w:sz w:val="20"/>
                <w:szCs w:val="20"/>
                <w:lang w:val="uk-UA" w:eastAsia="nl-BE"/>
              </w:rPr>
              <w:t xml:space="preserve"> </w:t>
            </w:r>
            <w:proofErr w:type="spellStart"/>
            <w:r w:rsidRPr="00080DB9">
              <w:rPr>
                <w:rFonts w:ascii="Century Gothic" w:eastAsia="Times New Roman" w:hAnsi="Century Gothic" w:cs="Arial"/>
                <w:color w:val="000000"/>
                <w:sz w:val="20"/>
                <w:szCs w:val="20"/>
                <w:lang w:val="uk-UA" w:eastAsia="nl-BE"/>
              </w:rPr>
              <w:t>exam</w:t>
            </w:r>
            <w:proofErr w:type="spellEnd"/>
            <w:r w:rsidRPr="00080DB9">
              <w:rPr>
                <w:rFonts w:ascii="Century Gothic" w:eastAsia="Times New Roman" w:hAnsi="Century Gothic" w:cs="Arial"/>
                <w:color w:val="000000"/>
                <w:sz w:val="20"/>
                <w:szCs w:val="20"/>
                <w:lang w:val="uk-UA" w:eastAsia="nl-BE"/>
              </w:rPr>
              <w:t xml:space="preserve"> </w:t>
            </w:r>
          </w:p>
          <w:p w:rsidR="002C0537" w:rsidRPr="00080DB9" w:rsidRDefault="002C0537" w:rsidP="00697D13">
            <w:pPr>
              <w:shd w:val="clear" w:color="auto" w:fill="FAFDFE"/>
              <w:outlineLvl w:val="1"/>
              <w:rPr>
                <w:rFonts w:ascii="Century Gothic" w:hAnsi="Century Gothic"/>
                <w:sz w:val="20"/>
                <w:szCs w:val="20"/>
              </w:rPr>
            </w:pPr>
            <w:r w:rsidRPr="00080DB9">
              <w:rPr>
                <w:rFonts w:ascii="Century Gothic" w:hAnsi="Century Gothic"/>
                <w:b/>
                <w:bCs/>
                <w:sz w:val="20"/>
                <w:szCs w:val="20"/>
              </w:rPr>
              <w:t>Second chance?</w:t>
            </w:r>
          </w:p>
        </w:tc>
      </w:tr>
      <w:tr w:rsidR="002C0537" w:rsidRPr="00121A8A" w:rsidTr="00697D13">
        <w:tc>
          <w:tcPr>
            <w:tcW w:w="10456" w:type="dxa"/>
          </w:tcPr>
          <w:p w:rsidR="002C0537" w:rsidRDefault="002C0537" w:rsidP="00697D13">
            <w:pPr>
              <w:rPr>
                <w:rFonts w:ascii="Century Gothic" w:hAnsi="Century Gothic"/>
                <w:sz w:val="20"/>
                <w:szCs w:val="20"/>
                <w:lang w:val="uk-UA"/>
              </w:rPr>
            </w:pPr>
            <w:r w:rsidRPr="009C7B97">
              <w:rPr>
                <w:rFonts w:ascii="Century Gothic" w:hAnsi="Century Gothic"/>
                <w:sz w:val="20"/>
                <w:szCs w:val="20"/>
              </w:rPr>
              <w:t xml:space="preserve">written exam </w:t>
            </w:r>
          </w:p>
          <w:p w:rsidR="002C0537" w:rsidRPr="00121A8A" w:rsidRDefault="002C0537" w:rsidP="00697D13">
            <w:pPr>
              <w:rPr>
                <w:rFonts w:ascii="Century Gothic" w:hAnsi="Century Gothic"/>
                <w:sz w:val="20"/>
                <w:szCs w:val="20"/>
              </w:rPr>
            </w:pPr>
            <w:r w:rsidRPr="001E3A18">
              <w:rPr>
                <w:rFonts w:ascii="Century Gothic" w:hAnsi="Century Gothic"/>
                <w:sz w:val="20"/>
                <w:szCs w:val="20"/>
              </w:rPr>
              <w:t>Second chance possible</w:t>
            </w:r>
          </w:p>
        </w:tc>
      </w:tr>
    </w:tbl>
    <w:p w:rsidR="002C0537" w:rsidRPr="00121A8A" w:rsidRDefault="002C0537" w:rsidP="002C0537">
      <w:pPr>
        <w:rPr>
          <w:rFonts w:ascii="Century Gothic" w:hAnsi="Century Gothic"/>
          <w:sz w:val="20"/>
          <w:szCs w:val="20"/>
        </w:rPr>
      </w:pPr>
    </w:p>
    <w:p w:rsidR="006701C8" w:rsidRDefault="006701C8"/>
    <w:sectPr w:rsidR="006701C8" w:rsidSect="008C456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DAA" w:rsidRDefault="00EF5DAA">
      <w:pPr>
        <w:spacing w:after="0" w:line="240" w:lineRule="auto"/>
      </w:pPr>
      <w:r>
        <w:separator/>
      </w:r>
    </w:p>
  </w:endnote>
  <w:endnote w:type="continuationSeparator" w:id="0">
    <w:p w:rsidR="00EF5DAA" w:rsidRDefault="00EF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2D8" w:rsidRDefault="00EF5DA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6CA" w:rsidRPr="00FE36CA" w:rsidRDefault="002C0537" w:rsidP="00FE36CA">
    <w:pPr>
      <w:pStyle w:val="a7"/>
      <w:pBdr>
        <w:top w:val="thinThickSmallGap" w:sz="24" w:space="1" w:color="823B0B" w:themeColor="accent2" w:themeShade="7F"/>
      </w:pBdr>
      <w:jc w:val="right"/>
      <w:rPr>
        <w:rFonts w:asciiTheme="majorHAnsi" w:eastAsiaTheme="majorEastAsia" w:hAnsiTheme="majorHAnsi" w:cstheme="majorBidi"/>
        <w:lang w:val="uk-UA"/>
      </w:rPr>
    </w:pPr>
    <w:r>
      <w:rPr>
        <w:rFonts w:asciiTheme="majorHAnsi" w:eastAsiaTheme="majorEastAsia" w:hAnsiTheme="majorHAnsi" w:cstheme="majorBidi"/>
        <w:lang w:val="en-US"/>
      </w:rPr>
      <w:t xml:space="preserve">ECTS    </w:t>
    </w:r>
    <w:r w:rsidRPr="00FE36CA">
      <w:rPr>
        <w:rFonts w:asciiTheme="majorHAnsi" w:eastAsiaTheme="majorEastAsia" w:hAnsiTheme="majorHAnsi" w:cstheme="majorBidi"/>
      </w:rPr>
      <w:t>Pedagogy</w:t>
    </w:r>
    <w:r>
      <w:rPr>
        <w:rFonts w:asciiTheme="majorHAnsi" w:eastAsiaTheme="majorEastAsia" w:hAnsiTheme="majorHAnsi" w:cstheme="majorBidi"/>
        <w:lang w:val="uk-UA"/>
      </w:rPr>
      <w:t xml:space="preserve"> </w:t>
    </w:r>
    <w:r>
      <w:rPr>
        <w:rFonts w:eastAsiaTheme="minorEastAsia"/>
      </w:rPr>
      <w:fldChar w:fldCharType="begin"/>
    </w:r>
    <w:r>
      <w:instrText>PAGE   \* MERGEFORMAT</w:instrText>
    </w:r>
    <w:r>
      <w:rPr>
        <w:rFonts w:eastAsiaTheme="minorEastAsia"/>
      </w:rPr>
      <w:fldChar w:fldCharType="separate"/>
    </w:r>
    <w:r w:rsidR="000E162D" w:rsidRPr="000E162D">
      <w:rPr>
        <w:rFonts w:asciiTheme="majorHAnsi" w:eastAsiaTheme="majorEastAsia" w:hAnsiTheme="majorHAnsi" w:cstheme="majorBidi"/>
        <w:noProof/>
        <w:lang w:val="uk-UA"/>
      </w:rPr>
      <w:t>2</w:t>
    </w:r>
    <w:r>
      <w:rPr>
        <w:rFonts w:asciiTheme="majorHAnsi" w:eastAsiaTheme="majorEastAsia" w:hAnsiTheme="majorHAnsi" w:cstheme="majorBidi"/>
      </w:rPr>
      <w:fldChar w:fldCharType="end"/>
    </w:r>
    <w:r>
      <w:rPr>
        <w:rFonts w:asciiTheme="majorHAnsi" w:eastAsiaTheme="majorEastAsia" w:hAnsiTheme="majorHAnsi" w:cstheme="majorBidi"/>
        <w:lang w:val="uk-UA"/>
      </w:rPr>
      <w:t xml:space="preserve">   </w:t>
    </w:r>
  </w:p>
  <w:p w:rsidR="00421608" w:rsidRPr="00CD0D50" w:rsidRDefault="00EF5DAA" w:rsidP="00CD0D50">
    <w:pPr>
      <w:pStyle w:val="a7"/>
      <w:jc w:val="right"/>
      <w:rPr>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2D8" w:rsidRDefault="00EF5D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DAA" w:rsidRDefault="00EF5DAA">
      <w:pPr>
        <w:spacing w:after="0" w:line="240" w:lineRule="auto"/>
      </w:pPr>
      <w:r>
        <w:separator/>
      </w:r>
    </w:p>
  </w:footnote>
  <w:footnote w:type="continuationSeparator" w:id="0">
    <w:p w:rsidR="00EF5DAA" w:rsidRDefault="00EF5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2D8" w:rsidRDefault="00EF5DA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2D8" w:rsidRDefault="00EF5DA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2D8" w:rsidRDefault="00EF5D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91A2EAD"/>
    <w:multiLevelType w:val="hybridMultilevel"/>
    <w:tmpl w:val="BD0E3726"/>
    <w:lvl w:ilvl="0" w:tplc="FFFFFFFF">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37"/>
    <w:rsid w:val="000E162D"/>
    <w:rsid w:val="002C0537"/>
    <w:rsid w:val="006701C8"/>
    <w:rsid w:val="00EB7937"/>
    <w:rsid w:val="00EF5D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C3593-97A6-4A3A-AB53-5C76A90A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537"/>
    <w:rPr>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537"/>
    <w:pPr>
      <w:ind w:left="720"/>
      <w:contextualSpacing/>
    </w:pPr>
  </w:style>
  <w:style w:type="table" w:styleId="a4">
    <w:name w:val="Table Grid"/>
    <w:basedOn w:val="a1"/>
    <w:uiPriority w:val="39"/>
    <w:rsid w:val="002C0537"/>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C0537"/>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2C0537"/>
    <w:rPr>
      <w:lang w:val="nl-BE"/>
    </w:rPr>
  </w:style>
  <w:style w:type="paragraph" w:styleId="a7">
    <w:name w:val="footer"/>
    <w:basedOn w:val="a"/>
    <w:link w:val="a8"/>
    <w:uiPriority w:val="99"/>
    <w:unhideWhenUsed/>
    <w:rsid w:val="002C0537"/>
    <w:pPr>
      <w:tabs>
        <w:tab w:val="center" w:pos="4536"/>
        <w:tab w:val="right" w:pos="9072"/>
      </w:tabs>
      <w:spacing w:after="0" w:line="240" w:lineRule="auto"/>
    </w:pPr>
  </w:style>
  <w:style w:type="character" w:customStyle="1" w:styleId="a8">
    <w:name w:val="Нижний колонтитул Знак"/>
    <w:basedOn w:val="a0"/>
    <w:link w:val="a7"/>
    <w:uiPriority w:val="99"/>
    <w:rsid w:val="002C0537"/>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3035</Words>
  <Characters>1731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alekseypasechnik98@gmail.com</dc:creator>
  <cp:keywords/>
  <dc:description/>
  <cp:lastModifiedBy>alekseypasechnik98@gmail.com</cp:lastModifiedBy>
  <cp:revision>3</cp:revision>
  <dcterms:created xsi:type="dcterms:W3CDTF">2023-06-06T12:22:00Z</dcterms:created>
  <dcterms:modified xsi:type="dcterms:W3CDTF">2023-06-09T13:52:00Z</dcterms:modified>
</cp:coreProperties>
</file>